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Ind w:w="-177" w:type="dxa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4542"/>
        <w:gridCol w:w="1418"/>
        <w:gridCol w:w="4540"/>
      </w:tblGrid>
      <w:tr w:rsidR="00652505" w:rsidTr="00573ED7">
        <w:trPr>
          <w:cantSplit/>
          <w:trHeight w:val="1141"/>
        </w:trPr>
        <w:tc>
          <w:tcPr>
            <w:tcW w:w="4540" w:type="dxa"/>
            <w:hideMark/>
          </w:tcPr>
          <w:p w:rsidR="00652505" w:rsidRDefault="00652505" w:rsidP="00573ED7">
            <w:pPr>
              <w:keepNext/>
              <w:autoSpaceDN w:val="0"/>
              <w:jc w:val="both"/>
              <w:outlineLvl w:val="1"/>
              <w:rPr>
                <w:rFonts w:ascii="Arial New Bash" w:hAnsi="Arial New Bash" w:cs="Arial New Bash"/>
                <w:b/>
                <w:bCs/>
                <w:spacing w:val="20"/>
                <w:sz w:val="20"/>
                <w:szCs w:val="20"/>
              </w:rPr>
            </w:pPr>
            <w:r>
              <w:rPr>
                <w:rFonts w:cs="Arial New Bash"/>
                <w:b/>
                <w:bCs/>
                <w:spacing w:val="20"/>
                <w:sz w:val="20"/>
                <w:szCs w:val="20"/>
              </w:rPr>
              <w:t xml:space="preserve">   </w:t>
            </w:r>
            <w:r>
              <w:rPr>
                <w:rFonts w:ascii="Arial New Bash" w:hAnsi="Arial New Bash" w:cs="Arial New Bash"/>
                <w:b/>
                <w:bCs/>
                <w:spacing w:val="20"/>
                <w:sz w:val="20"/>
                <w:szCs w:val="20"/>
              </w:rPr>
              <w:t>БАШ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Ҝ</w:t>
            </w:r>
            <w:r>
              <w:rPr>
                <w:rFonts w:ascii="Arial New Bash" w:hAnsi="Arial New Bash" w:cs="Arial New Bash"/>
                <w:b/>
                <w:bCs/>
                <w:spacing w:val="20"/>
                <w:sz w:val="20"/>
                <w:szCs w:val="20"/>
              </w:rPr>
              <w:t>ОРТОСТАНРЕСПУБЛИКАҺ</w:t>
            </w:r>
            <w:proofErr w:type="gramStart"/>
            <w:r>
              <w:rPr>
                <w:rFonts w:ascii="Arial New Bash" w:hAnsi="Arial New Bash" w:cs="Arial New Bash"/>
                <w:b/>
                <w:bCs/>
                <w:spacing w:val="20"/>
                <w:sz w:val="20"/>
                <w:szCs w:val="20"/>
              </w:rPr>
              <w:t>Ы</w:t>
            </w:r>
            <w:proofErr w:type="gramEnd"/>
          </w:p>
          <w:p w:rsidR="00652505" w:rsidRDefault="00652505" w:rsidP="00573ED7">
            <w:pPr>
              <w:autoSpaceDN w:val="0"/>
              <w:jc w:val="center"/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New Bash" w:hAnsi="Arial New Bash" w:cs="Arial New Bash"/>
                <w:b/>
                <w:bCs/>
                <w:sz w:val="20"/>
                <w:szCs w:val="20"/>
              </w:rPr>
              <w:t>F</w:t>
            </w:r>
            <w:proofErr w:type="gramEnd"/>
            <w:r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  <w:t xml:space="preserve">АФУРИ РАЙОНЫ </w:t>
            </w:r>
          </w:p>
          <w:p w:rsidR="00652505" w:rsidRDefault="00652505" w:rsidP="00573ED7">
            <w:pPr>
              <w:autoSpaceDN w:val="0"/>
              <w:jc w:val="center"/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</w:pPr>
            <w:r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  <w:t>МУНИЦИПАЛЬ РАЙОНЫНЫ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Ң</w:t>
            </w:r>
            <w:r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  <w:t xml:space="preserve"> </w:t>
            </w:r>
          </w:p>
          <w:p w:rsidR="00652505" w:rsidRDefault="00652505" w:rsidP="00573ED7">
            <w:pPr>
              <w:keepNext/>
              <w:autoSpaceDN w:val="0"/>
              <w:jc w:val="center"/>
              <w:outlineLvl w:val="6"/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</w:pPr>
            <w:r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  <w:t>ИМ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Ә</w:t>
            </w:r>
            <w:r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  <w:t>НД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Ә</w:t>
            </w:r>
            <w:proofErr w:type="gramStart"/>
            <w:r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  <w:t>Ш</w:t>
            </w:r>
            <w:proofErr w:type="gramEnd"/>
          </w:p>
          <w:p w:rsidR="00652505" w:rsidRDefault="00652505" w:rsidP="00573ED7">
            <w:pPr>
              <w:keepNext/>
              <w:autoSpaceDN w:val="0"/>
              <w:jc w:val="center"/>
              <w:outlineLvl w:val="6"/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</w:pPr>
            <w:r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  <w:t>АУЫЛ СОВЕТЫ</w:t>
            </w:r>
          </w:p>
          <w:p w:rsidR="00652505" w:rsidRDefault="00652505" w:rsidP="00573ED7">
            <w:pPr>
              <w:keepNext/>
              <w:autoSpaceDN w:val="0"/>
              <w:jc w:val="center"/>
              <w:outlineLvl w:val="6"/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</w:pPr>
            <w:r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  <w:t>АУЫЛ БИЛ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Ә</w:t>
            </w:r>
            <w:r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  <w:t>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ӘҺ</w:t>
            </w:r>
            <w:r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  <w:t xml:space="preserve">Е </w:t>
            </w:r>
          </w:p>
          <w:p w:rsidR="00652505" w:rsidRDefault="00652505" w:rsidP="00573ED7">
            <w:pPr>
              <w:keepNext/>
              <w:autoSpaceDN w:val="0"/>
              <w:jc w:val="center"/>
              <w:outlineLvl w:val="6"/>
              <w:rPr>
                <w:rFonts w:ascii="Arial New Bash" w:hAnsi="Arial New Bash" w:cs="Arial New Bash"/>
                <w:b/>
                <w:bCs/>
              </w:rPr>
            </w:pPr>
            <w:r>
              <w:rPr>
                <w:rFonts w:ascii="Times Cyr Bash Normal" w:hAnsi="Times Cyr Bash Normal" w:cs="Times Cyr Bash Normal"/>
                <w:b/>
                <w:bCs/>
                <w:sz w:val="20"/>
                <w:szCs w:val="20"/>
              </w:rPr>
              <w:t>СОВЕТЫ</w:t>
            </w:r>
          </w:p>
        </w:tc>
        <w:tc>
          <w:tcPr>
            <w:tcW w:w="1418" w:type="dxa"/>
            <w:hideMark/>
          </w:tcPr>
          <w:p w:rsidR="00652505" w:rsidRDefault="00652505" w:rsidP="00573ED7">
            <w:pPr>
              <w:autoSpaceDN w:val="0"/>
              <w:spacing w:before="120"/>
              <w:ind w:left="-107"/>
              <w:rPr>
                <w:b/>
                <w:bCs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4B67BAE2" wp14:editId="65794974">
                  <wp:extent cx="787400" cy="1016000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</w:tcPr>
          <w:p w:rsidR="00652505" w:rsidRDefault="00652505" w:rsidP="00573ED7">
            <w:pPr>
              <w:autoSpaceDN w:val="0"/>
              <w:rPr>
                <w:rFonts w:cstheme="minorBidi"/>
                <w:b/>
                <w:bCs/>
              </w:rPr>
            </w:pPr>
            <w:r>
              <w:rPr>
                <w:b/>
                <w:bCs/>
              </w:rPr>
              <w:t xml:space="preserve">                            СОВЕТ </w:t>
            </w:r>
          </w:p>
          <w:p w:rsidR="00652505" w:rsidRDefault="00652505" w:rsidP="00573ED7">
            <w:pPr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СЕЛЬСКОГО ПОСЕЛЕНИЯ ИМЕНДЯШЕВСКИЙ СЕЛЬСОВЕТ</w:t>
            </w:r>
          </w:p>
          <w:p w:rsidR="00652505" w:rsidRDefault="00652505" w:rsidP="00573ED7">
            <w:pPr>
              <w:autoSpaceDN w:val="0"/>
              <w:spacing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МУНИЦИПАЛЬНОГО РАЙОНА ГАФУРИЙСКИЙ РАЙОН </w:t>
            </w:r>
            <w:r>
              <w:rPr>
                <w:b/>
                <w:bCs/>
                <w:spacing w:val="20"/>
              </w:rPr>
              <w:t>РЕСПУБЛИКА БАШКОРТОСТАН</w:t>
            </w:r>
          </w:p>
          <w:p w:rsidR="00652505" w:rsidRDefault="00652505" w:rsidP="00573ED7">
            <w:pPr>
              <w:autoSpaceDN w:val="0"/>
              <w:jc w:val="center"/>
              <w:rPr>
                <w:b/>
                <w:bCs/>
                <w:spacing w:val="20"/>
              </w:rPr>
            </w:pPr>
          </w:p>
        </w:tc>
      </w:tr>
    </w:tbl>
    <w:p w:rsidR="00652505" w:rsidRDefault="00652505" w:rsidP="00652505">
      <w:pPr>
        <w:autoSpaceDN w:val="0"/>
        <w:jc w:val="center"/>
        <w:rPr>
          <w:rFonts w:cstheme="minorBidi"/>
          <w:sz w:val="2"/>
          <w:szCs w:val="2"/>
        </w:rPr>
      </w:pPr>
    </w:p>
    <w:tbl>
      <w:tblPr>
        <w:tblW w:w="10206" w:type="dxa"/>
        <w:tblInd w:w="108" w:type="dxa"/>
        <w:tblBorders>
          <w:bottom w:val="thickThinMediumGap" w:sz="18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652505" w:rsidTr="00573ED7">
        <w:trPr>
          <w:trHeight w:val="66"/>
        </w:trPr>
        <w:tc>
          <w:tcPr>
            <w:tcW w:w="1020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652505" w:rsidRDefault="00652505" w:rsidP="00573ED7">
            <w:pPr>
              <w:autoSpaceDN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652505" w:rsidRDefault="00652505" w:rsidP="00652505">
      <w:pPr>
        <w:autoSpaceDN w:val="0"/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4360"/>
        <w:gridCol w:w="1396"/>
        <w:gridCol w:w="4557"/>
      </w:tblGrid>
      <w:tr w:rsidR="00652505" w:rsidTr="00573ED7">
        <w:trPr>
          <w:trHeight w:val="657"/>
        </w:trPr>
        <w:tc>
          <w:tcPr>
            <w:tcW w:w="4360" w:type="dxa"/>
            <w:hideMark/>
          </w:tcPr>
          <w:p w:rsidR="00652505" w:rsidRDefault="00652505" w:rsidP="00573ED7">
            <w:pPr>
              <w:autoSpaceDN w:val="0"/>
              <w:jc w:val="center"/>
              <w:rPr>
                <w:b/>
                <w:bCs/>
                <w:sz w:val="38"/>
                <w:szCs w:val="38"/>
              </w:rPr>
            </w:pPr>
            <w:r>
              <w:rPr>
                <w:b/>
                <w:bCs/>
                <w:sz w:val="38"/>
                <w:szCs w:val="38"/>
              </w:rPr>
              <w:sym w:font="ATimes" w:char="F04B"/>
            </w:r>
            <w:r>
              <w:rPr>
                <w:b/>
                <w:bCs/>
                <w:sz w:val="38"/>
                <w:szCs w:val="38"/>
              </w:rPr>
              <w:t>АРАР</w:t>
            </w:r>
          </w:p>
        </w:tc>
        <w:tc>
          <w:tcPr>
            <w:tcW w:w="1396" w:type="dxa"/>
          </w:tcPr>
          <w:p w:rsidR="00652505" w:rsidRDefault="00652505" w:rsidP="00573ED7">
            <w:pPr>
              <w:autoSpaceDN w:val="0"/>
              <w:jc w:val="center"/>
              <w:rPr>
                <w:b/>
                <w:bCs/>
                <w:sz w:val="38"/>
                <w:szCs w:val="38"/>
              </w:rPr>
            </w:pPr>
          </w:p>
        </w:tc>
        <w:tc>
          <w:tcPr>
            <w:tcW w:w="4557" w:type="dxa"/>
            <w:hideMark/>
          </w:tcPr>
          <w:p w:rsidR="00652505" w:rsidRDefault="00652505" w:rsidP="00573ED7">
            <w:pPr>
              <w:autoSpaceDN w:val="0"/>
              <w:jc w:val="center"/>
              <w:rPr>
                <w:b/>
                <w:bCs/>
                <w:sz w:val="38"/>
                <w:szCs w:val="38"/>
              </w:rPr>
            </w:pPr>
            <w:r>
              <w:rPr>
                <w:b/>
                <w:bCs/>
                <w:sz w:val="38"/>
                <w:szCs w:val="38"/>
              </w:rPr>
              <w:t>РЕШЕНИЕ</w:t>
            </w:r>
          </w:p>
        </w:tc>
      </w:tr>
    </w:tbl>
    <w:p w:rsidR="00652505" w:rsidRDefault="00652505" w:rsidP="00652505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ежегодном отчете главы сельского поселения </w:t>
      </w:r>
      <w:proofErr w:type="spellStart"/>
      <w:r>
        <w:rPr>
          <w:b/>
          <w:bCs/>
          <w:color w:val="000000"/>
        </w:rPr>
        <w:t>Имендяшевский</w:t>
      </w:r>
      <w:proofErr w:type="spellEnd"/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</w:rPr>
        <w:t xml:space="preserve">сельсовет муниципального района </w:t>
      </w:r>
      <w:proofErr w:type="spellStart"/>
      <w:r>
        <w:rPr>
          <w:b/>
          <w:bCs/>
          <w:color w:val="000000"/>
        </w:rPr>
        <w:t>Гафурийский</w:t>
      </w:r>
      <w:proofErr w:type="spellEnd"/>
      <w:r>
        <w:rPr>
          <w:b/>
          <w:bCs/>
          <w:color w:val="000000"/>
        </w:rPr>
        <w:t xml:space="preserve"> район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«Об итогах социально - экономического развития сельского поселения </w:t>
      </w:r>
      <w:proofErr w:type="spellStart"/>
      <w:r>
        <w:rPr>
          <w:b/>
          <w:bCs/>
          <w:color w:val="000000"/>
        </w:rPr>
        <w:t>Имендяшевский</w:t>
      </w:r>
      <w:proofErr w:type="spellEnd"/>
      <w:r>
        <w:rPr>
          <w:b/>
          <w:bCs/>
          <w:color w:val="000000"/>
        </w:rPr>
        <w:t> сельсовет муниципального района</w:t>
      </w:r>
      <w:r>
        <w:rPr>
          <w:color w:val="000000"/>
        </w:rPr>
        <w:t xml:space="preserve">  </w:t>
      </w:r>
      <w:proofErr w:type="spellStart"/>
      <w:r>
        <w:rPr>
          <w:b/>
          <w:bCs/>
          <w:color w:val="000000"/>
        </w:rPr>
        <w:t>Гафурийский</w:t>
      </w:r>
      <w:proofErr w:type="spellEnd"/>
      <w:r>
        <w:rPr>
          <w:b/>
          <w:bCs/>
          <w:color w:val="000000"/>
        </w:rPr>
        <w:t xml:space="preserve"> район                                                             Республики Башкортостан в 201</w:t>
      </w:r>
      <w:r w:rsidRPr="00D47DB4">
        <w:rPr>
          <w:b/>
          <w:bCs/>
          <w:color w:val="000000"/>
        </w:rPr>
        <w:t>6</w:t>
      </w:r>
      <w:r>
        <w:rPr>
          <w:b/>
          <w:bCs/>
          <w:color w:val="000000"/>
        </w:rPr>
        <w:t>году».</w:t>
      </w:r>
      <w:r>
        <w:rPr>
          <w:color w:val="000000"/>
        </w:rPr>
        <w:t xml:space="preserve">      </w:t>
      </w:r>
      <w:r>
        <w:rPr>
          <w:b/>
          <w:bCs/>
          <w:color w:val="000000"/>
        </w:rPr>
        <w:t xml:space="preserve">                                                            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Приоритетные задачи и основные мероприятия на 201</w:t>
      </w:r>
      <w:r w:rsidRPr="00D47DB4">
        <w:rPr>
          <w:b/>
          <w:bCs/>
          <w:color w:val="000000"/>
        </w:rPr>
        <w:t>7</w:t>
      </w:r>
      <w:r>
        <w:rPr>
          <w:b/>
          <w:bCs/>
          <w:color w:val="000000"/>
        </w:rPr>
        <w:t xml:space="preserve"> год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color w:val="000000"/>
        </w:rPr>
        <w:t>Имендяшевский</w:t>
      </w:r>
      <w:proofErr w:type="spellEnd"/>
      <w:r>
        <w:rPr>
          <w:color w:val="000000"/>
        </w:rPr>
        <w:t xml:space="preserve"> сельсовет муниципального района </w:t>
      </w:r>
      <w:proofErr w:type="spellStart"/>
      <w:r>
        <w:rPr>
          <w:color w:val="000000"/>
        </w:rPr>
        <w:t>Гафурийский</w:t>
      </w:r>
      <w:proofErr w:type="spellEnd"/>
      <w:r>
        <w:rPr>
          <w:color w:val="000000"/>
        </w:rPr>
        <w:t xml:space="preserve"> район Республики Башкортостан, заслушав и обсудив отчет главы сельского поселения </w:t>
      </w:r>
      <w:proofErr w:type="spellStart"/>
      <w:r>
        <w:rPr>
          <w:color w:val="000000"/>
        </w:rPr>
        <w:t>Имендяшевский</w:t>
      </w:r>
      <w:proofErr w:type="spellEnd"/>
      <w:r>
        <w:rPr>
          <w:color w:val="000000"/>
        </w:rPr>
        <w:t xml:space="preserve"> сельсовет муниципального района </w:t>
      </w:r>
      <w:proofErr w:type="spellStart"/>
      <w:r>
        <w:rPr>
          <w:color w:val="000000"/>
        </w:rPr>
        <w:t>Гафурийский</w:t>
      </w:r>
      <w:proofErr w:type="spellEnd"/>
      <w:r>
        <w:rPr>
          <w:color w:val="000000"/>
        </w:rPr>
        <w:t xml:space="preserve"> район Республики Башкортостан «Об итогах социально - экономического развития сельского поселения </w:t>
      </w:r>
      <w:proofErr w:type="spellStart"/>
      <w:r>
        <w:rPr>
          <w:color w:val="000000"/>
        </w:rPr>
        <w:t>Имендяшевский</w:t>
      </w:r>
      <w:proofErr w:type="spellEnd"/>
      <w:r>
        <w:rPr>
          <w:color w:val="000000"/>
        </w:rPr>
        <w:t xml:space="preserve"> сельсовет муниципального района </w:t>
      </w:r>
      <w:proofErr w:type="spellStart"/>
      <w:r>
        <w:rPr>
          <w:color w:val="000000"/>
        </w:rPr>
        <w:t>Гафурийский</w:t>
      </w:r>
      <w:proofErr w:type="spellEnd"/>
      <w:r>
        <w:rPr>
          <w:color w:val="000000"/>
        </w:rPr>
        <w:t xml:space="preserve"> район Республики Башкортостан в 201</w:t>
      </w:r>
      <w:r w:rsidRPr="00D47DB4">
        <w:rPr>
          <w:color w:val="000000"/>
        </w:rPr>
        <w:t>6</w:t>
      </w:r>
      <w:r>
        <w:rPr>
          <w:color w:val="000000"/>
        </w:rPr>
        <w:t xml:space="preserve"> году.</w:t>
      </w:r>
      <w:proofErr w:type="gramEnd"/>
      <w:r>
        <w:rPr>
          <w:color w:val="000000"/>
        </w:rPr>
        <w:t xml:space="preserve"> Приоритетные задачи и основные мероприятия на 201</w:t>
      </w:r>
      <w:r w:rsidRPr="00D47DB4">
        <w:rPr>
          <w:color w:val="000000"/>
        </w:rPr>
        <w:t>7</w:t>
      </w:r>
      <w:r>
        <w:rPr>
          <w:color w:val="000000"/>
        </w:rPr>
        <w:t xml:space="preserve"> год» (прилагается), Совет сельского поселения </w:t>
      </w:r>
      <w:proofErr w:type="spellStart"/>
      <w:r>
        <w:rPr>
          <w:color w:val="000000"/>
        </w:rPr>
        <w:t>Имендяшевский</w:t>
      </w:r>
      <w:proofErr w:type="spellEnd"/>
      <w:r>
        <w:rPr>
          <w:color w:val="000000"/>
        </w:rPr>
        <w:t xml:space="preserve"> сельсовет муниципального района </w:t>
      </w:r>
      <w:proofErr w:type="spellStart"/>
      <w:r>
        <w:rPr>
          <w:color w:val="000000"/>
        </w:rPr>
        <w:t>Гафурийский</w:t>
      </w:r>
      <w:proofErr w:type="spellEnd"/>
      <w:r>
        <w:rPr>
          <w:color w:val="000000"/>
        </w:rPr>
        <w:t xml:space="preserve"> район Республики Башкортостан решил: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>1. Отчет главы сельского поселения </w:t>
      </w:r>
      <w:proofErr w:type="spellStart"/>
      <w:r>
        <w:rPr>
          <w:color w:val="000000"/>
        </w:rPr>
        <w:t>Имендяшевский</w:t>
      </w:r>
      <w:proofErr w:type="spellEnd"/>
      <w:r>
        <w:rPr>
          <w:color w:val="000000"/>
        </w:rPr>
        <w:t xml:space="preserve"> сельсовет муниципального района </w:t>
      </w:r>
      <w:proofErr w:type="spellStart"/>
      <w:r>
        <w:rPr>
          <w:color w:val="000000"/>
        </w:rPr>
        <w:t>Гафурийский</w:t>
      </w:r>
      <w:proofErr w:type="spellEnd"/>
      <w:r>
        <w:rPr>
          <w:color w:val="000000"/>
        </w:rPr>
        <w:t xml:space="preserve"> район Республики Башкортостан</w:t>
      </w:r>
      <w:r>
        <w:rPr>
          <w:b/>
          <w:bCs/>
          <w:color w:val="000000"/>
        </w:rPr>
        <w:t> </w:t>
      </w:r>
      <w:r>
        <w:rPr>
          <w:color w:val="000000"/>
        </w:rPr>
        <w:t>«Об итогах социально - экономического развития сельского поселения </w:t>
      </w:r>
      <w:proofErr w:type="spellStart"/>
      <w:r>
        <w:rPr>
          <w:color w:val="000000"/>
        </w:rPr>
        <w:t>Имендяшевский</w:t>
      </w:r>
      <w:proofErr w:type="spellEnd"/>
      <w:r>
        <w:rPr>
          <w:color w:val="000000"/>
        </w:rPr>
        <w:t xml:space="preserve"> сельсовет муниципального района </w:t>
      </w:r>
      <w:proofErr w:type="spellStart"/>
      <w:r>
        <w:rPr>
          <w:color w:val="000000"/>
        </w:rPr>
        <w:t>Гафурийский</w:t>
      </w:r>
      <w:proofErr w:type="spellEnd"/>
      <w:r>
        <w:rPr>
          <w:color w:val="000000"/>
        </w:rPr>
        <w:t xml:space="preserve"> район Республики Башкортостан в 201</w:t>
      </w:r>
      <w:r w:rsidRPr="00D47DB4">
        <w:rPr>
          <w:color w:val="000000"/>
        </w:rPr>
        <w:t>6</w:t>
      </w:r>
      <w:r>
        <w:rPr>
          <w:color w:val="000000"/>
        </w:rPr>
        <w:t xml:space="preserve"> году» принять к сведению.</w:t>
      </w:r>
    </w:p>
    <w:p w:rsidR="00652505" w:rsidRPr="00D47DB4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>2. Администрации</w:t>
      </w:r>
      <w:r>
        <w:rPr>
          <w:b/>
          <w:bCs/>
          <w:color w:val="000000"/>
        </w:rPr>
        <w:t> </w:t>
      </w:r>
      <w:r>
        <w:rPr>
          <w:color w:val="000000"/>
        </w:rPr>
        <w:t>сельского поселения </w:t>
      </w:r>
      <w:proofErr w:type="spellStart"/>
      <w:r>
        <w:rPr>
          <w:color w:val="000000"/>
        </w:rPr>
        <w:t>Имендяшевский</w:t>
      </w:r>
      <w:proofErr w:type="spellEnd"/>
      <w:r>
        <w:rPr>
          <w:color w:val="000000"/>
        </w:rPr>
        <w:t xml:space="preserve"> сельсовет муниципального района </w:t>
      </w:r>
      <w:proofErr w:type="spellStart"/>
      <w:r>
        <w:rPr>
          <w:color w:val="000000"/>
        </w:rPr>
        <w:t>Гафурийский</w:t>
      </w:r>
      <w:proofErr w:type="spellEnd"/>
      <w:r>
        <w:rPr>
          <w:color w:val="000000"/>
        </w:rPr>
        <w:t xml:space="preserve"> район Республики Башкортостан</w:t>
      </w:r>
      <w:r>
        <w:rPr>
          <w:b/>
          <w:bCs/>
          <w:color w:val="000000"/>
        </w:rPr>
        <w:t> </w:t>
      </w:r>
      <w:r>
        <w:rPr>
          <w:color w:val="000000"/>
        </w:rPr>
        <w:t>продолжить работу</w:t>
      </w:r>
      <w:r w:rsidRPr="00D47DB4">
        <w:rPr>
          <w:color w:val="000000"/>
        </w:rPr>
        <w:t xml:space="preserve">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>;</w:t>
      </w:r>
    </w:p>
    <w:p w:rsidR="00652505" w:rsidRDefault="00652505" w:rsidP="00652505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1) целенаправленному решению вопросов местного значения, созданию благоприятных условий для дальнейшего развития сельского поселения, в том числе аграрного сектора;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>2) благоустройству населенных пунктов;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>3) эффективному целевому использованию бюджетных средств, проведению мероприятий по увеличению доходного потенциала бюджета, увеличению собственных доходов бюджета </w:t>
      </w:r>
      <w:r>
        <w:rPr>
          <w:b/>
          <w:bCs/>
          <w:color w:val="000000"/>
        </w:rPr>
        <w:t>на 45%;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>4) поддержке личных подсобных хозяйств;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5) поддержке субъектов малого предпринимательства;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>6) работе с неблагополучными семьями;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>7) по участию в региональных программах для развития фермерских хозяйств;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>8) по государственной регистрации права собственности на муниципальное имущество и земельные участки;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>9) реализации молодежной политики, развитию культуры, физической культуры, спорта и туризма, приобщению населения к здоровому образу жизни;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>10) по борьбе с незаконным оборотом алкогольной продукции, реализацией нелегального алкоголя;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>11) совершенствованию деятельности по социальной поддержке населения;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>12) подготовке и проведению мероприятий, посвященных Году экологии в Республике Башкортостан;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>13) своевременному и качественному рассмотрению обращений граждан;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>14) по соблюдению законности и правопорядка среди населения, профилактике правонарушений среди несовершеннолетних совместно с правоохранительными органами;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>15) принятию мер для улучшения противопожарной обстановки.</w:t>
      </w:r>
    </w:p>
    <w:p w:rsidR="00652505" w:rsidRDefault="00652505" w:rsidP="00652505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>
        <w:rPr>
          <w:color w:val="000000"/>
        </w:rPr>
        <w:t xml:space="preserve">3. Возложить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решения на Совет сельского поселения </w:t>
      </w:r>
      <w:proofErr w:type="spellStart"/>
      <w:r>
        <w:rPr>
          <w:color w:val="000000"/>
        </w:rPr>
        <w:t>Имендяшевский</w:t>
      </w:r>
      <w:proofErr w:type="spellEnd"/>
      <w:r>
        <w:rPr>
          <w:color w:val="000000"/>
        </w:rPr>
        <w:t xml:space="preserve"> сельсовет муниципального района </w:t>
      </w:r>
      <w:proofErr w:type="spellStart"/>
      <w:r>
        <w:rPr>
          <w:color w:val="000000"/>
        </w:rPr>
        <w:t>Гафурийский</w:t>
      </w:r>
      <w:proofErr w:type="spellEnd"/>
      <w:r>
        <w:rPr>
          <w:color w:val="000000"/>
        </w:rPr>
        <w:t xml:space="preserve"> район Республики Башкортостан.</w:t>
      </w:r>
    </w:p>
    <w:p w:rsidR="00652505" w:rsidRDefault="00652505" w:rsidP="00652505">
      <w:pPr>
        <w:shd w:val="clear" w:color="auto" w:fill="FFFFFF"/>
        <w:spacing w:before="100" w:beforeAutospacing="1"/>
        <w:jc w:val="both"/>
        <w:rPr>
          <w:color w:val="000000"/>
        </w:rPr>
      </w:pPr>
    </w:p>
    <w:p w:rsidR="00652505" w:rsidRDefault="00652505" w:rsidP="00652505">
      <w:pPr>
        <w:shd w:val="clear" w:color="auto" w:fill="FFFFFF"/>
        <w:spacing w:before="100" w:beforeAutospacing="1"/>
        <w:jc w:val="both"/>
        <w:rPr>
          <w:color w:val="000000"/>
        </w:rPr>
      </w:pPr>
    </w:p>
    <w:p w:rsidR="00652505" w:rsidRDefault="00652505" w:rsidP="00652505">
      <w:pPr>
        <w:shd w:val="clear" w:color="auto" w:fill="FFFFFF"/>
        <w:spacing w:before="100" w:beforeAutospacing="1"/>
        <w:jc w:val="both"/>
        <w:rPr>
          <w:color w:val="000000"/>
        </w:rPr>
      </w:pPr>
      <w:r>
        <w:rPr>
          <w:color w:val="000000"/>
        </w:rPr>
        <w:t xml:space="preserve">Глава  сельского поселения                                      А.А. </w:t>
      </w:r>
      <w:proofErr w:type="spellStart"/>
      <w:r>
        <w:rPr>
          <w:color w:val="000000"/>
        </w:rPr>
        <w:t>Нугайгулов</w:t>
      </w:r>
      <w:proofErr w:type="spellEnd"/>
    </w:p>
    <w:p w:rsidR="00652505" w:rsidRDefault="00652505" w:rsidP="00652505">
      <w:pPr>
        <w:shd w:val="clear" w:color="auto" w:fill="FFFFFF"/>
        <w:spacing w:before="100" w:beforeAutospacing="1"/>
        <w:jc w:val="both"/>
        <w:rPr>
          <w:color w:val="000000"/>
        </w:rPr>
      </w:pPr>
      <w:r>
        <w:rPr>
          <w:color w:val="000000"/>
        </w:rPr>
        <w:t xml:space="preserve">с. </w:t>
      </w:r>
      <w:proofErr w:type="spellStart"/>
      <w:r>
        <w:rPr>
          <w:color w:val="000000"/>
        </w:rPr>
        <w:t>Имендяшево</w:t>
      </w:r>
      <w:proofErr w:type="spellEnd"/>
      <w:r>
        <w:rPr>
          <w:color w:val="000000"/>
        </w:rPr>
        <w:t>,</w:t>
      </w:r>
    </w:p>
    <w:p w:rsidR="00652505" w:rsidRDefault="00652505" w:rsidP="00652505">
      <w:pPr>
        <w:shd w:val="clear" w:color="auto" w:fill="FFFFFF"/>
        <w:spacing w:before="100" w:beforeAutospacing="1"/>
        <w:jc w:val="both"/>
        <w:rPr>
          <w:color w:val="000000"/>
        </w:rPr>
      </w:pPr>
      <w:r>
        <w:rPr>
          <w:color w:val="000000"/>
        </w:rPr>
        <w:t>от  16.01.2017 г.</w:t>
      </w:r>
    </w:p>
    <w:p w:rsidR="00652505" w:rsidRDefault="00652505" w:rsidP="00652505">
      <w:pPr>
        <w:shd w:val="clear" w:color="auto" w:fill="FFFFFF"/>
        <w:spacing w:before="100" w:beforeAutospacing="1"/>
        <w:jc w:val="both"/>
        <w:rPr>
          <w:color w:val="000000"/>
        </w:rPr>
      </w:pPr>
      <w:r>
        <w:rPr>
          <w:color w:val="000000"/>
        </w:rPr>
        <w:t>№ 26-</w:t>
      </w:r>
      <w:r w:rsidRPr="00652505">
        <w:rPr>
          <w:color w:val="000000"/>
        </w:rPr>
        <w:t>90</w:t>
      </w:r>
      <w:r>
        <w:rPr>
          <w:color w:val="000000"/>
        </w:rPr>
        <w:t>з</w:t>
      </w:r>
      <w:bookmarkStart w:id="0" w:name="_GoBack"/>
      <w:bookmarkEnd w:id="0"/>
    </w:p>
    <w:p w:rsidR="00652505" w:rsidRPr="00D47DB4" w:rsidRDefault="00652505" w:rsidP="00652505"/>
    <w:p w:rsidR="00303963" w:rsidRDefault="00303963"/>
    <w:sectPr w:rsidR="0030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Times">
    <w:altName w:val="Symbol"/>
    <w:panose1 w:val="00000000000000000000"/>
    <w:charset w:val="02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23"/>
    <w:rsid w:val="00303963"/>
    <w:rsid w:val="00652505"/>
    <w:rsid w:val="00DD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5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5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5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5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3052</Characters>
  <Application>Microsoft Office Word</Application>
  <DocSecurity>0</DocSecurity>
  <Lines>25</Lines>
  <Paragraphs>7</Paragraphs>
  <ScaleCrop>false</ScaleCrop>
  <Company>Krokoz™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2017-02-08T07:55:00Z</dcterms:created>
  <dcterms:modified xsi:type="dcterms:W3CDTF">2017-02-08T07:55:00Z</dcterms:modified>
</cp:coreProperties>
</file>